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2A" w:rsidRPr="00CC202A" w:rsidRDefault="00CC202A" w:rsidP="00CC202A">
      <w:pPr>
        <w:shd w:val="clear" w:color="auto" w:fill="F9F9F9"/>
        <w:spacing w:after="225" w:line="642" w:lineRule="atLeast"/>
        <w:outlineLvl w:val="0"/>
        <w:rPr>
          <w:rFonts w:ascii="Helvetica" w:eastAsia="Times New Roman" w:hAnsi="Helvetica" w:cs="Helvetica"/>
          <w:color w:val="CE8D20"/>
          <w:kern w:val="36"/>
          <w:sz w:val="58"/>
          <w:szCs w:val="58"/>
          <w:lang w:val="en-US" w:eastAsia="it-IT"/>
        </w:rPr>
      </w:pPr>
      <w:bookmarkStart w:id="0" w:name="_GoBack"/>
      <w:bookmarkEnd w:id="0"/>
      <w:r w:rsidRPr="00CC202A">
        <w:rPr>
          <w:rFonts w:ascii="Helvetica" w:eastAsia="Times New Roman" w:hAnsi="Helvetica" w:cs="Helvetica"/>
          <w:color w:val="CE8D20"/>
          <w:kern w:val="36"/>
          <w:sz w:val="58"/>
          <w:szCs w:val="58"/>
          <w:lang w:val="en-US" w:eastAsia="it-IT"/>
        </w:rPr>
        <w:t>DUAL MOB</w:t>
      </w:r>
    </w:p>
    <w:p w:rsidR="00CC202A" w:rsidRPr="00CC202A" w:rsidRDefault="00CC202A" w:rsidP="00CC202A">
      <w:pPr>
        <w:shd w:val="clear" w:color="auto" w:fill="F9F9F9"/>
        <w:spacing w:before="300" w:after="96" w:line="336" w:lineRule="atLeast"/>
        <w:outlineLvl w:val="1"/>
        <w:rPr>
          <w:rFonts w:ascii="Helvetica" w:eastAsia="Times New Roman" w:hAnsi="Helvetica" w:cs="Helvetica"/>
          <w:b/>
          <w:bCs/>
          <w:color w:val="666666"/>
          <w:sz w:val="34"/>
          <w:szCs w:val="34"/>
          <w:lang w:val="en-US" w:eastAsia="it-IT"/>
        </w:rPr>
      </w:pPr>
      <w:r w:rsidRPr="00CC202A">
        <w:rPr>
          <w:rFonts w:ascii="Helvetica" w:eastAsia="Times New Roman" w:hAnsi="Helvetica" w:cs="Helvetica"/>
          <w:b/>
          <w:bCs/>
          <w:color w:val="666666"/>
          <w:sz w:val="34"/>
          <w:szCs w:val="34"/>
          <w:lang w:val="en-US" w:eastAsia="it-IT"/>
        </w:rPr>
        <w:t>Dual Training through Mobility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Due dei problemi principali che si trovano ad affrontare i sistemi di Istruzione e Formazione Professionale (leFP) in Europa sono il fenomeno dell’Early School Leaving (ESL) e del mancato raggiungimento di competenze chiave per le persone che finiscono i percorsi di studio. Il sistema leFP da anni svolge un ruolo chiave nella lotta a questi fenomeni, tuttavia per continuare a contrastare l’abbandono scolastico e dotare gli studenti delle relevant skills richieste dal mondo del lavoro è necessario dare maggiore impulso alle forme di apprendimento basato sul lavoro (WBL). Alla luce di queste problematiche e dell’avvio del sistema duale in Italia promosso dal Ministero del Lavoro e delle Politiche Sociali, i membri del consorzio hanno deciso di incrementare le opportunità di apprendimento in mobilità durante i percorsi formativi che utilizzano metodologie WBL.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L’obiettivo è promuovere, all’interno dei percorsi formativi che favoriscono l’apprendimento in assetto lavorativo, periodi di mobilità all’estero. Infatti, la mobilità, integrata con esperienze WBL, è importante per (ri)motivare i VET learners (prevenendo l’abbandono scolastico) e dotarli delle competenze richieste dalle imprese.</w:t>
      </w:r>
    </w:p>
    <w:p w:rsidR="00CC202A" w:rsidRPr="00CC202A" w:rsidRDefault="00CC202A" w:rsidP="00CC202A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Il progetto DUAL MOB promuove dunque lo </w:t>
      </w:r>
      <w:r w:rsidRPr="00CC202A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it-IT"/>
        </w:rPr>
        <w:t>sviluppo di competenze chiave e tecnico professionali</w:t>
      </w: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 </w:t>
      </w:r>
      <w:r w:rsidRPr="00CC202A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it-IT"/>
        </w:rPr>
        <w:t>richieste dalle aziende tramite esperienze WBL in contesti esteri</w:t>
      </w: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 da effettuare all’interno di percorsi formativi (3/4 anno, neoqualificati/diplomati), valorizzando i risultati di apprendimento di tali esperienze per facilitare un futuro inserimento nel mondo del lavoro dei giovani partecipanti o per continuare il percorso di studi.</w:t>
      </w:r>
    </w:p>
    <w:p w:rsidR="00CC202A" w:rsidRPr="00CC202A" w:rsidRDefault="00CC202A" w:rsidP="00CC202A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Il progetto si rivolge a </w:t>
      </w:r>
      <w:r w:rsidRPr="00CC202A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it-IT"/>
        </w:rPr>
        <w:t>300 studenti</w:t>
      </w: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 (circa 1 terzo in situazioni di svantaggio economico/sociale/culturale) che frequentano percorsi IeFP in </w:t>
      </w:r>
      <w:r w:rsidRPr="00CC202A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it-IT"/>
        </w:rPr>
        <w:t>18 regioni italiane</w:t>
      </w: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 dove sono attivi i </w:t>
      </w:r>
      <w:r w:rsidRPr="00CC202A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it-IT"/>
        </w:rPr>
        <w:t>150 CFP</w:t>
      </w: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 associati agli enti che compongono il consorzio.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Il progetto garantisce un’ampia copertura settoriale e geografica. I giovani coinvolti apparteranno ai seguenti settori professionali:</w:t>
      </w:r>
    </w:p>
    <w:p w:rsidR="00CC202A" w:rsidRPr="00CC202A" w:rsidRDefault="00CC202A" w:rsidP="00CC202A">
      <w:pPr>
        <w:numPr>
          <w:ilvl w:val="0"/>
          <w:numId w:val="1"/>
        </w:numPr>
        <w:shd w:val="clear" w:color="auto" w:fill="F9F9F9"/>
        <w:spacing w:after="120" w:line="272" w:lineRule="atLeast"/>
        <w:ind w:left="360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Agroalimentare (Operatore/Tecnico della trasformazione agroalimentare; Op/Tec agricolo);</w:t>
      </w:r>
    </w:p>
    <w:p w:rsidR="00CC202A" w:rsidRPr="00CC202A" w:rsidRDefault="00CC202A" w:rsidP="00CC202A">
      <w:pPr>
        <w:numPr>
          <w:ilvl w:val="0"/>
          <w:numId w:val="1"/>
        </w:numPr>
        <w:shd w:val="clear" w:color="auto" w:fill="F9F9F9"/>
        <w:spacing w:after="120" w:line="272" w:lineRule="atLeast"/>
        <w:ind w:left="360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Manifattura e artigianato (Op/Tec Abbigliamento, Op/Tec Legno);</w:t>
      </w:r>
    </w:p>
    <w:p w:rsidR="00CC202A" w:rsidRPr="00CC202A" w:rsidRDefault="00CC202A" w:rsidP="00CC202A">
      <w:pPr>
        <w:numPr>
          <w:ilvl w:val="0"/>
          <w:numId w:val="1"/>
        </w:numPr>
        <w:shd w:val="clear" w:color="auto" w:fill="F9F9F9"/>
        <w:spacing w:after="120" w:line="272" w:lineRule="atLeast"/>
        <w:ind w:left="360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Meccanica, impianti e costruzioni (Op/Tec meccanico, dell’automazione, edile, elettrico, elettronico, impianti termoidraulici);</w:t>
      </w:r>
    </w:p>
    <w:p w:rsidR="00CC202A" w:rsidRPr="00CC202A" w:rsidRDefault="00CC202A" w:rsidP="00CC202A">
      <w:pPr>
        <w:numPr>
          <w:ilvl w:val="0"/>
          <w:numId w:val="1"/>
        </w:numPr>
        <w:shd w:val="clear" w:color="auto" w:fill="F9F9F9"/>
        <w:spacing w:after="120" w:line="272" w:lineRule="atLeast"/>
        <w:ind w:left="360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Cultura, informazione e tecnologie informatiche (Op/Tec Grafico);</w:t>
      </w:r>
    </w:p>
    <w:p w:rsidR="00CC202A" w:rsidRPr="00CC202A" w:rsidRDefault="00CC202A" w:rsidP="00CC202A">
      <w:pPr>
        <w:numPr>
          <w:ilvl w:val="0"/>
          <w:numId w:val="1"/>
        </w:numPr>
        <w:shd w:val="clear" w:color="auto" w:fill="F9F9F9"/>
        <w:spacing w:after="120" w:line="272" w:lineRule="atLeast"/>
        <w:ind w:left="360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Servizi commerciali (Op/Tec amministrativo-segretariale e servizi di vendita);</w:t>
      </w:r>
    </w:p>
    <w:p w:rsidR="00CC202A" w:rsidRPr="00CC202A" w:rsidRDefault="00CC202A" w:rsidP="00CC202A">
      <w:pPr>
        <w:numPr>
          <w:ilvl w:val="0"/>
          <w:numId w:val="1"/>
        </w:numPr>
        <w:shd w:val="clear" w:color="auto" w:fill="F9F9F9"/>
        <w:spacing w:after="120" w:line="272" w:lineRule="atLeast"/>
        <w:ind w:left="360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Turismo (Op/Tec della ristorazione e dei servizi di promozione turistica);</w:t>
      </w:r>
    </w:p>
    <w:p w:rsidR="00CC202A" w:rsidRPr="00CC202A" w:rsidRDefault="00CC202A" w:rsidP="00CC202A">
      <w:pPr>
        <w:numPr>
          <w:ilvl w:val="0"/>
          <w:numId w:val="1"/>
        </w:numPr>
        <w:shd w:val="clear" w:color="auto" w:fill="F9F9F9"/>
        <w:spacing w:after="120" w:line="272" w:lineRule="atLeast"/>
        <w:ind w:left="360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Servizi alla Persona (Op/Tec del benessere).</w:t>
      </w:r>
    </w:p>
    <w:p w:rsidR="00CC202A" w:rsidRPr="00CC202A" w:rsidRDefault="00CC202A" w:rsidP="00CC202A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Il partenariato istituito avrà un impatto significativo dal punto di vista geografico coinvolgendo </w:t>
      </w:r>
      <w:r w:rsidRPr="00CC202A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it-IT"/>
        </w:rPr>
        <w:t xml:space="preserve">16 partner da 6 </w:t>
      </w:r>
      <w:proofErr w:type="gramStart"/>
      <w:r w:rsidRPr="00CC202A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it-IT"/>
        </w:rPr>
        <w:t>paesi</w:t>
      </w: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(</w:t>
      </w:r>
      <w:proofErr w:type="gramEnd"/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Finlandia, Francia, Germania, Irlanda, Regno Unito, Spagna). L’ampio numero di partner stranieri e i criteri con i quali tali enti sono stati coinvolti assicureranno agli studenti un’esperienza formativa adatta ai profili professionali.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Il progetto promuove 2 tipologie di mobilità transnazionale:</w:t>
      </w:r>
    </w:p>
    <w:p w:rsidR="00CC202A" w:rsidRPr="00CC202A" w:rsidRDefault="00CC202A" w:rsidP="00CC202A">
      <w:pPr>
        <w:numPr>
          <w:ilvl w:val="0"/>
          <w:numId w:val="2"/>
        </w:numPr>
        <w:shd w:val="clear" w:color="auto" w:fill="F9F9F9"/>
        <w:spacing w:after="120" w:line="272" w:lineRule="atLeast"/>
        <w:ind w:left="360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tirocinio all’estero per studenti in formazione professionale iniziale presso un’azienda per un periodo di tre/quattro settimane (studenti più maturi e preparati)</w:t>
      </w:r>
    </w:p>
    <w:p w:rsidR="00CC202A" w:rsidRPr="00CC202A" w:rsidRDefault="00CC202A" w:rsidP="00CC202A">
      <w:pPr>
        <w:numPr>
          <w:ilvl w:val="0"/>
          <w:numId w:val="2"/>
        </w:numPr>
        <w:shd w:val="clear" w:color="auto" w:fill="F9F9F9"/>
        <w:spacing w:after="120" w:line="272" w:lineRule="atLeast"/>
        <w:ind w:left="360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tirocinio all’estero per studenti in formazione professionale iniziale presso un CFP con periodi di apprendimento in azienda o in un altro contesto pertinente per un periodo di 3/4 settimane (studenti più fragili)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Il progetto prevede l’impiego del sistema ECVET per la valorizzazione e il riconoscimento dei learning outcomes acquisiti all’estero. A tal fine, il consorzio si avvarrà dell’esperienza e degli strumenti ECVET elaborati nel progetto GORES.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Il progetto avrà un impatto sullo sviluppo delle competenze professionali e trasversali degli studenti e del personale coinvolto (tutor) e di conseguenza sul miglioramento dell’offerta formativa IeFP grazie al miglioramento nell’utilizzo dell’approccio del WBL e al rafforzamento del mutual trust tra i partner del progetto.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lastRenderedPageBreak/>
        <w:t>Il confronto con realtà estere in materia di organizzazione e gestione di attività work based learning porterà un arricchimento in termini di metodi organizzativi e didattici che le organizzazioni invianti potranno sfruttare durante la sperimentazione del sistema duale in Italia.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 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Codice del progetto: 2017-1-IT01-KA102-005930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CUP: G37H17000710006</w:t>
      </w:r>
    </w:p>
    <w:p w:rsidR="00CC202A" w:rsidRPr="00CC202A" w:rsidRDefault="00CC202A" w:rsidP="00CC202A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>
        <w:rPr>
          <w:rFonts w:ascii="Helvetica" w:eastAsia="Times New Roman" w:hAnsi="Helvetica" w:cs="Helvetica"/>
          <w:noProof/>
          <w:color w:val="1F7BB6"/>
          <w:sz w:val="19"/>
          <w:szCs w:val="19"/>
          <w:lang w:eastAsia="it-IT"/>
        </w:rPr>
        <w:drawing>
          <wp:inline distT="0" distB="0" distL="0" distR="0">
            <wp:extent cx="2854325" cy="588645"/>
            <wp:effectExtent l="0" t="0" r="3175" b="1905"/>
            <wp:docPr id="3" name="Immagine 3" descr="http://enac.org/wp-content/uploads/2017/10/LogosBeneficairesErasmusRIGHT_IT-300x6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ac.org/wp-content/uploads/2017/10/LogosBeneficairesErasmusRIGHT_IT-300x6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2A" w:rsidRPr="00CC202A" w:rsidRDefault="00CC202A" w:rsidP="00CC202A">
      <w:pPr>
        <w:shd w:val="clear" w:color="auto" w:fill="F9F9F9"/>
        <w:spacing w:before="300" w:after="96" w:line="336" w:lineRule="atLeast"/>
        <w:outlineLvl w:val="2"/>
        <w:rPr>
          <w:rFonts w:ascii="Helvetica" w:eastAsia="Times New Roman" w:hAnsi="Helvetica" w:cs="Helvetica"/>
          <w:color w:val="CE8D20"/>
          <w:sz w:val="30"/>
          <w:szCs w:val="30"/>
          <w:lang w:val="en-US" w:eastAsia="it-IT"/>
        </w:rPr>
      </w:pPr>
      <w:r w:rsidRPr="00CC202A">
        <w:rPr>
          <w:rFonts w:ascii="Helvetica" w:eastAsia="Times New Roman" w:hAnsi="Helvetica" w:cs="Helvetica"/>
          <w:color w:val="CE8D20"/>
          <w:sz w:val="30"/>
          <w:szCs w:val="30"/>
          <w:lang w:val="en-US" w:eastAsia="it-IT"/>
        </w:rPr>
        <w:t>Programma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val="en-US"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val="en-US" w:eastAsia="it-IT"/>
        </w:rPr>
        <w:t>Erasmus+ KA1 VET learner and staff mobility</w:t>
      </w:r>
    </w:p>
    <w:p w:rsidR="00CC202A" w:rsidRPr="00CC202A" w:rsidRDefault="00CC202A" w:rsidP="00CC202A">
      <w:pPr>
        <w:shd w:val="clear" w:color="auto" w:fill="F9F9F9"/>
        <w:spacing w:before="300" w:after="96" w:line="336" w:lineRule="atLeast"/>
        <w:outlineLvl w:val="2"/>
        <w:rPr>
          <w:rFonts w:ascii="Helvetica" w:eastAsia="Times New Roman" w:hAnsi="Helvetica" w:cs="Helvetica"/>
          <w:color w:val="CE8D20"/>
          <w:sz w:val="30"/>
          <w:szCs w:val="30"/>
          <w:lang w:eastAsia="it-IT"/>
        </w:rPr>
      </w:pPr>
      <w:r w:rsidRPr="00CC202A">
        <w:rPr>
          <w:rFonts w:ascii="Helvetica" w:eastAsia="Times New Roman" w:hAnsi="Helvetica" w:cs="Helvetica"/>
          <w:color w:val="CE8D20"/>
          <w:sz w:val="30"/>
          <w:szCs w:val="30"/>
          <w:lang w:eastAsia="it-IT"/>
        </w:rPr>
        <w:t>Durata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2 anni (02/10/2017 – 01/10/2019)</w:t>
      </w:r>
    </w:p>
    <w:p w:rsidR="00CC202A" w:rsidRPr="00CC202A" w:rsidRDefault="00CC202A" w:rsidP="00CC202A">
      <w:pPr>
        <w:shd w:val="clear" w:color="auto" w:fill="F9F9F9"/>
        <w:spacing w:before="300" w:after="96" w:line="336" w:lineRule="atLeast"/>
        <w:outlineLvl w:val="2"/>
        <w:rPr>
          <w:rFonts w:ascii="Helvetica" w:eastAsia="Times New Roman" w:hAnsi="Helvetica" w:cs="Helvetica"/>
          <w:color w:val="CE8D20"/>
          <w:sz w:val="30"/>
          <w:szCs w:val="30"/>
          <w:lang w:eastAsia="it-IT"/>
        </w:rPr>
      </w:pPr>
      <w:r w:rsidRPr="00CC202A">
        <w:rPr>
          <w:rFonts w:ascii="Helvetica" w:eastAsia="Times New Roman" w:hAnsi="Helvetica" w:cs="Helvetica"/>
          <w:color w:val="CE8D20"/>
          <w:sz w:val="30"/>
          <w:szCs w:val="30"/>
          <w:lang w:eastAsia="it-IT"/>
        </w:rPr>
        <w:t>Partner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ENAC Ente Nazionale Canossiano</w:t>
      </w:r>
    </w:p>
    <w:p w:rsidR="00CC202A" w:rsidRPr="00112C3E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b/>
          <w:color w:val="666666"/>
          <w:sz w:val="19"/>
          <w:szCs w:val="19"/>
          <w:lang w:eastAsia="it-IT"/>
        </w:rPr>
      </w:pPr>
      <w:r w:rsidRPr="00112C3E">
        <w:rPr>
          <w:rFonts w:ascii="Helvetica" w:eastAsia="Times New Roman" w:hAnsi="Helvetica" w:cs="Helvetica"/>
          <w:b/>
          <w:color w:val="666666"/>
          <w:sz w:val="19"/>
          <w:szCs w:val="19"/>
          <w:lang w:eastAsia="it-IT"/>
        </w:rPr>
        <w:t>Centro Edile per la Formazione e la Sicurezza (CEFS)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EDILMASTER La Scuola Edile di Trieste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Ente Nazionale Don Orione – Formazione e Aggiornamento Professionale (ENDO-</w:t>
      </w:r>
      <w:proofErr w:type="gramStart"/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FAP )</w:t>
      </w:r>
      <w:proofErr w:type="gramEnd"/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Ente Nazionale Giuseppini del Murialdo (ENGIM Nazionale)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Federazione CNOS-FAP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Fondazione Casa di Carità Arti e Mestieri ONLUS (Casa di carità)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IAL Innovazione Apprendimento Lavoro Friuli Venezia Giulia srl Impresa Sociale (IAL Friuli)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Scaligera Formazione scarl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 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 </w:t>
      </w:r>
    </w:p>
    <w:p w:rsidR="00CC202A" w:rsidRPr="00CC202A" w:rsidRDefault="00CC202A" w:rsidP="00CC202A">
      <w:pPr>
        <w:shd w:val="clear" w:color="auto" w:fill="F9F9F9"/>
        <w:spacing w:after="288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DUAL MOB è anche sui social!</w:t>
      </w:r>
    </w:p>
    <w:p w:rsidR="00CC202A" w:rsidRPr="00CC202A" w:rsidRDefault="00CC202A" w:rsidP="00CC202A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</w:pPr>
      <w:r>
        <w:rPr>
          <w:rFonts w:ascii="Helvetica" w:eastAsia="Times New Roman" w:hAnsi="Helvetica" w:cs="Helvetica"/>
          <w:noProof/>
          <w:color w:val="1F7BB6"/>
          <w:sz w:val="19"/>
          <w:szCs w:val="19"/>
          <w:lang w:eastAsia="it-IT"/>
        </w:rPr>
        <w:drawing>
          <wp:inline distT="0" distB="0" distL="0" distR="0">
            <wp:extent cx="286385" cy="286385"/>
            <wp:effectExtent l="0" t="0" r="0" b="0"/>
            <wp:docPr id="2" name="Immagine 2" descr="http://enac.org/wp-content/uploads/2017/10/facebook-512-150x15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ac.org/wp-content/uploads/2017/10/facebook-512-150x15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02A">
        <w:rPr>
          <w:rFonts w:ascii="Helvetica" w:eastAsia="Times New Roman" w:hAnsi="Helvetica" w:cs="Helvetica"/>
          <w:color w:val="666666"/>
          <w:sz w:val="19"/>
          <w:szCs w:val="19"/>
          <w:lang w:eastAsia="it-IT"/>
        </w:rPr>
        <w:t>   </w:t>
      </w:r>
      <w:r>
        <w:rPr>
          <w:rFonts w:ascii="Helvetica" w:eastAsia="Times New Roman" w:hAnsi="Helvetica" w:cs="Helvetica"/>
          <w:noProof/>
          <w:color w:val="1F7BB6"/>
          <w:sz w:val="19"/>
          <w:szCs w:val="19"/>
          <w:lang w:eastAsia="it-IT"/>
        </w:rPr>
        <w:drawing>
          <wp:inline distT="0" distB="0" distL="0" distR="0">
            <wp:extent cx="286385" cy="286385"/>
            <wp:effectExtent l="0" t="0" r="0" b="0"/>
            <wp:docPr id="1" name="Immagine 1" descr="http://enac.org/wp-content/uploads/2017/10/unnamed-150x15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ac.org/wp-content/uploads/2017/10/unnamed-150x15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23" w:rsidRDefault="005615F3"/>
    <w:sectPr w:rsidR="00D43F23" w:rsidSect="00133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7C5"/>
    <w:multiLevelType w:val="multilevel"/>
    <w:tmpl w:val="667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870AD"/>
    <w:multiLevelType w:val="multilevel"/>
    <w:tmpl w:val="F69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3"/>
    <w:rsid w:val="00112C3E"/>
    <w:rsid w:val="0013387A"/>
    <w:rsid w:val="005615F3"/>
    <w:rsid w:val="00660E77"/>
    <w:rsid w:val="007A03F3"/>
    <w:rsid w:val="009C0971"/>
    <w:rsid w:val="00C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22F89-22A9-4E43-A81B-8F49443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C2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C2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C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20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20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202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202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progettoDualMo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enac.org/wp-content/uploads/2017/10/LogosBeneficairesErasmusRIGHT_IT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ual_mob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Puggioni</dc:creator>
  <cp:keywords/>
  <dc:description/>
  <cp:lastModifiedBy>Giovanni Cassina</cp:lastModifiedBy>
  <cp:revision>2</cp:revision>
  <dcterms:created xsi:type="dcterms:W3CDTF">2017-11-10T10:33:00Z</dcterms:created>
  <dcterms:modified xsi:type="dcterms:W3CDTF">2017-11-10T10:33:00Z</dcterms:modified>
</cp:coreProperties>
</file>